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6"/>
          <w:szCs w:val="26"/>
          <w:lang w:val="lv-LV"/>
        </w:rPr>
      </w:pPr>
      <w:r>
        <w:rPr>
          <w:sz w:val="26"/>
          <w:szCs w:val="26"/>
          <w:lang w:val="lv-LV"/>
        </w:rPr>
      </w:r>
    </w:p>
    <w:p>
      <w:pPr>
        <w:pStyle w:val="Normal"/>
        <w:jc w:val="right"/>
        <w:rPr>
          <w:sz w:val="26"/>
          <w:szCs w:val="26"/>
          <w:lang w:val="lv-LV"/>
        </w:rPr>
      </w:pPr>
      <w:r>
        <w:rPr>
          <w:sz w:val="26"/>
          <w:szCs w:val="26"/>
          <w:lang w:val="lv-LV"/>
        </w:rPr>
      </w:r>
    </w:p>
    <w:p>
      <w:pPr>
        <w:pStyle w:val="Normal"/>
        <w:jc w:val="right"/>
        <w:rPr>
          <w:b/>
          <w:b/>
          <w:bCs/>
          <w:sz w:val="28"/>
          <w:szCs w:val="28"/>
          <w:lang w:val="lv-LV"/>
        </w:rPr>
      </w:pPr>
      <w:r>
        <w:rPr>
          <w:b/>
          <w:bCs/>
          <w:sz w:val="28"/>
          <w:szCs w:val="28"/>
          <w:lang w:val="lv-LV"/>
        </w:rPr>
        <w:t>Ventspils valstspilsētas pašvaldībai</w:t>
      </w:r>
    </w:p>
    <w:p>
      <w:pPr>
        <w:pStyle w:val="Normal"/>
        <w:jc w:val="right"/>
        <w:rPr>
          <w:b/>
          <w:b/>
          <w:bCs/>
          <w:sz w:val="10"/>
          <w:szCs w:val="10"/>
          <w:lang w:val="lv-LV"/>
        </w:rPr>
      </w:pPr>
      <w:r>
        <w:rPr>
          <w:b/>
          <w:bCs/>
          <w:sz w:val="10"/>
          <w:szCs w:val="10"/>
          <w:lang w:val="lv-LV"/>
        </w:rPr>
      </w:r>
    </w:p>
    <w:tbl>
      <w:tblPr>
        <w:tblW w:w="1034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5531"/>
        <w:gridCol w:w="4816"/>
      </w:tblGrid>
      <w:tr>
        <w:trPr>
          <w:trHeight w:val="509" w:hRule="exact"/>
        </w:trPr>
        <w:tc>
          <w:tcPr>
            <w:tcW w:w="5531" w:type="dxa"/>
            <w:tcBorders/>
            <w:shd w:color="auto" w:fill="auto" w:val="clear"/>
            <w:vAlign w:val="center"/>
          </w:tcPr>
          <w:p>
            <w:pPr>
              <w:pStyle w:val="Normal"/>
              <w:widowControl w:val="false"/>
              <w:jc w:val="right"/>
              <w:rPr>
                <w:rFonts w:eastAsia="Calibri"/>
                <w:lang w:val="lv-LV"/>
              </w:rPr>
            </w:pPr>
            <w:bookmarkStart w:id="0" w:name="_Hlk116286170"/>
            <w:bookmarkEnd w:id="0"/>
            <w:r>
              <w:rPr>
                <w:rFonts w:eastAsia="Calibri"/>
                <w:lang w:val="lv-LV"/>
              </w:rPr>
              <w:t>Vārds, uzvārds</w:t>
            </w:r>
          </w:p>
          <w:p>
            <w:pPr>
              <w:pStyle w:val="Normal"/>
              <w:widowControl w:val="false"/>
              <w:jc w:val="right"/>
              <w:rPr>
                <w:rFonts w:eastAsia="Calibri"/>
                <w:lang w:val="lv-LV"/>
              </w:rPr>
            </w:pPr>
            <w:r>
              <w:rPr>
                <w:rFonts w:eastAsia="Calibri"/>
                <w:lang w:val="lv-LV"/>
              </w:rPr>
              <w:t xml:space="preserve"> </w:t>
            </w:r>
            <w:r>
              <w:rPr>
                <w:rFonts w:eastAsia="Calibri"/>
                <w:lang w:val="lv-LV"/>
              </w:rPr>
              <w:t>vai juridiskās personas nosaukums:</w:t>
            </w:r>
          </w:p>
          <w:p>
            <w:pPr>
              <w:pStyle w:val="Normal"/>
              <w:widowControl w:val="false"/>
              <w:spacing w:lineRule="auto" w:line="360"/>
              <w:jc w:val="right"/>
              <w:rPr>
                <w:rFonts w:eastAsia="Calibri"/>
                <w:lang w:val="lv-LV"/>
              </w:rPr>
            </w:pPr>
            <w:r>
              <w:rPr>
                <w:rFonts w:eastAsia="Calibri"/>
                <w:lang w:val="lv-LV"/>
              </w:rPr>
            </w:r>
          </w:p>
          <w:p>
            <w:pPr>
              <w:pStyle w:val="Normal"/>
              <w:widowControl w:val="false"/>
              <w:spacing w:lineRule="auto" w:line="360"/>
              <w:jc w:val="right"/>
              <w:rPr>
                <w:rFonts w:eastAsia="Calibri"/>
                <w:lang w:val="lv-LV"/>
              </w:rPr>
            </w:pPr>
            <w:r>
              <w:rPr>
                <w:rFonts w:eastAsia="Calibri"/>
                <w:lang w:val="lv-LV"/>
              </w:rPr>
              <w:t xml:space="preserve"> </w:t>
            </w:r>
            <w:r>
              <w:rPr>
                <w:rFonts w:eastAsia="Calibri"/>
                <w:lang w:val="lv-LV"/>
              </w:rPr>
              <w:t>nnosaukuns</w:t>
            </w:r>
          </w:p>
          <w:p>
            <w:pPr>
              <w:pStyle w:val="Normal"/>
              <w:widowControl w:val="false"/>
              <w:spacing w:lineRule="auto" w:line="360"/>
              <w:jc w:val="right"/>
              <w:rPr>
                <w:rFonts w:eastAsia="Calibri"/>
                <w:lang w:val="lv-LV"/>
              </w:rPr>
            </w:pPr>
            <w:r>
              <w:rPr>
                <w:rFonts w:eastAsia="Calibri"/>
                <w:lang w:val="lv-LV"/>
              </w:rPr>
              <w:t xml:space="preserve"> </w:t>
            </w:r>
            <w:r>
              <w:rPr>
                <w:rFonts w:eastAsia="Calibri"/>
                <w:lang w:val="lv-LV"/>
              </w:rPr>
              <w:t>vai:</w:t>
            </w:r>
          </w:p>
        </w:tc>
        <w:tc>
          <w:tcPr>
            <w:tcW w:w="4816" w:type="dxa"/>
            <w:tcBorders>
              <w:bottom w:val="single" w:sz="4" w:space="0" w:color="000000"/>
            </w:tcBorders>
            <w:shd w:color="auto" w:fill="auto" w:val="clear"/>
            <w:vAlign w:val="center"/>
          </w:tcPr>
          <w:p>
            <w:pPr>
              <w:pStyle w:val="Normal"/>
              <w:widowControl w:val="false"/>
              <w:spacing w:lineRule="auto" w:line="360"/>
              <w:rPr>
                <w:rFonts w:eastAsia="Calibri"/>
                <w:lang w:val="lv-LV"/>
              </w:rPr>
            </w:pPr>
            <w:r>
              <w:rPr>
                <w:rFonts w:eastAsia="Calibri"/>
                <w:lang w:val="lv-LV"/>
              </w:rPr>
            </w:r>
          </w:p>
        </w:tc>
      </w:tr>
      <w:tr>
        <w:trPr>
          <w:trHeight w:val="582" w:hRule="exact"/>
        </w:trPr>
        <w:tc>
          <w:tcPr>
            <w:tcW w:w="5531" w:type="dxa"/>
            <w:tcBorders/>
            <w:shd w:color="auto" w:fill="auto" w:val="clear"/>
            <w:vAlign w:val="center"/>
          </w:tcPr>
          <w:p>
            <w:pPr>
              <w:pStyle w:val="Normal"/>
              <w:widowControl w:val="false"/>
              <w:jc w:val="right"/>
              <w:rPr>
                <w:rFonts w:eastAsia="Calibri"/>
                <w:lang w:val="lv-LV"/>
              </w:rPr>
            </w:pPr>
            <w:r>
              <w:rPr>
                <w:rFonts w:eastAsia="Calibri"/>
                <w:lang w:val="lv-LV"/>
              </w:rPr>
              <w:t>Personas kods</w:t>
            </w:r>
          </w:p>
          <w:p>
            <w:pPr>
              <w:pStyle w:val="Normal"/>
              <w:widowControl w:val="false"/>
              <w:jc w:val="right"/>
              <w:rPr>
                <w:rFonts w:eastAsia="Calibri"/>
                <w:lang w:val="lv-LV"/>
              </w:rPr>
            </w:pPr>
            <w:r>
              <w:rPr>
                <w:rFonts w:eastAsia="Calibri"/>
                <w:lang w:val="lv-LV"/>
              </w:rPr>
              <w:t xml:space="preserve"> </w:t>
            </w:r>
            <w:r>
              <w:rPr>
                <w:rFonts w:eastAsia="Calibri"/>
                <w:lang w:val="lv-LV"/>
              </w:rPr>
              <w:t>vai juridiskās personas reģistrācijas Nr.:</w:t>
            </w:r>
          </w:p>
        </w:tc>
        <w:tc>
          <w:tcPr>
            <w:tcW w:w="4816" w:type="dxa"/>
            <w:tcBorders>
              <w:top w:val="single" w:sz="4" w:space="0" w:color="000000"/>
              <w:bottom w:val="single" w:sz="4" w:space="0" w:color="000000"/>
            </w:tcBorders>
            <w:shd w:color="auto" w:fill="auto" w:val="clear"/>
            <w:vAlign w:val="center"/>
          </w:tcPr>
          <w:p>
            <w:pPr>
              <w:pStyle w:val="Normal"/>
              <w:widowControl w:val="false"/>
              <w:spacing w:lineRule="auto" w:line="360"/>
              <w:rPr>
                <w:rFonts w:eastAsia="Calibri"/>
                <w:lang w:val="lv-LV"/>
              </w:rPr>
            </w:pPr>
            <w:r>
              <w:rPr>
                <w:rFonts w:eastAsia="Calibri"/>
                <w:lang w:val="lv-LV"/>
              </w:rPr>
            </w:r>
          </w:p>
        </w:tc>
      </w:tr>
      <w:tr>
        <w:trPr>
          <w:trHeight w:val="397" w:hRule="exact"/>
        </w:trPr>
        <w:tc>
          <w:tcPr>
            <w:tcW w:w="5531" w:type="dxa"/>
            <w:tcBorders/>
            <w:shd w:color="auto" w:fill="auto" w:val="clear"/>
            <w:vAlign w:val="center"/>
          </w:tcPr>
          <w:p>
            <w:pPr>
              <w:pStyle w:val="Normal"/>
              <w:widowControl w:val="false"/>
              <w:spacing w:lineRule="auto" w:line="360"/>
              <w:jc w:val="right"/>
              <w:rPr>
                <w:rFonts w:eastAsia="Calibri"/>
                <w:lang w:val="lv-LV"/>
              </w:rPr>
            </w:pPr>
            <w:r>
              <w:rPr>
                <w:rFonts w:eastAsia="Calibri"/>
                <w:lang w:val="lv-LV"/>
              </w:rPr>
              <w:t>deklarētā / juridiskā adrese:</w:t>
            </w:r>
          </w:p>
        </w:tc>
        <w:tc>
          <w:tcPr>
            <w:tcW w:w="4816" w:type="dxa"/>
            <w:tcBorders>
              <w:top w:val="single" w:sz="4" w:space="0" w:color="000000"/>
              <w:bottom w:val="single" w:sz="4" w:space="0" w:color="000000"/>
            </w:tcBorders>
            <w:shd w:color="auto" w:fill="auto" w:val="clear"/>
            <w:vAlign w:val="center"/>
          </w:tcPr>
          <w:p>
            <w:pPr>
              <w:pStyle w:val="Normal"/>
              <w:widowControl w:val="false"/>
              <w:spacing w:lineRule="auto" w:line="360"/>
              <w:rPr>
                <w:rFonts w:eastAsia="Calibri"/>
                <w:lang w:val="lv-LV"/>
              </w:rPr>
            </w:pPr>
            <w:r>
              <w:rPr>
                <w:rFonts w:eastAsia="Calibri"/>
                <w:lang w:val="lv-LV"/>
              </w:rPr>
            </w:r>
          </w:p>
        </w:tc>
      </w:tr>
      <w:tr>
        <w:trPr>
          <w:trHeight w:val="397" w:hRule="exact"/>
        </w:trPr>
        <w:tc>
          <w:tcPr>
            <w:tcW w:w="5531" w:type="dxa"/>
            <w:tcBorders/>
            <w:shd w:color="auto" w:fill="auto" w:val="clear"/>
            <w:vAlign w:val="center"/>
          </w:tcPr>
          <w:p>
            <w:pPr>
              <w:pStyle w:val="Normal"/>
              <w:widowControl w:val="false"/>
              <w:spacing w:lineRule="auto" w:line="360"/>
              <w:jc w:val="right"/>
              <w:rPr>
                <w:rFonts w:eastAsia="Calibri"/>
                <w:lang w:val="lv-LV"/>
              </w:rPr>
            </w:pPr>
            <w:r>
              <w:rPr>
                <w:rFonts w:eastAsia="Calibri"/>
                <w:lang w:val="lv-LV"/>
              </w:rPr>
              <w:t>Tālrunis, e-pasta adrese:</w:t>
            </w:r>
          </w:p>
        </w:tc>
        <w:tc>
          <w:tcPr>
            <w:tcW w:w="4816" w:type="dxa"/>
            <w:tcBorders>
              <w:top w:val="single" w:sz="4" w:space="0" w:color="000000"/>
              <w:bottom w:val="single" w:sz="4" w:space="0" w:color="000000"/>
            </w:tcBorders>
            <w:shd w:color="auto" w:fill="auto" w:val="clear"/>
            <w:vAlign w:val="center"/>
          </w:tcPr>
          <w:p>
            <w:pPr>
              <w:pStyle w:val="Normal"/>
              <w:widowControl w:val="false"/>
              <w:spacing w:lineRule="auto" w:line="360"/>
              <w:rPr>
                <w:rFonts w:eastAsia="Calibri"/>
                <w:lang w:val="lv-LV"/>
              </w:rPr>
            </w:pPr>
            <w:r>
              <w:rPr>
                <w:rFonts w:eastAsia="Calibri"/>
                <w:lang w:val="lv-LV"/>
              </w:rPr>
            </w:r>
            <w:bookmarkStart w:id="1" w:name="_Hlk116286170"/>
            <w:bookmarkStart w:id="2" w:name="_Hlk116286170"/>
            <w:bookmarkEnd w:id="2"/>
          </w:p>
        </w:tc>
      </w:tr>
    </w:tbl>
    <w:p>
      <w:pPr>
        <w:pStyle w:val="Normal"/>
        <w:jc w:val="center"/>
        <w:rPr>
          <w:sz w:val="10"/>
          <w:szCs w:val="10"/>
          <w:lang w:val="lv-LV"/>
        </w:rPr>
      </w:pPr>
      <w:r>
        <w:rPr>
          <w:sz w:val="10"/>
          <w:szCs w:val="10"/>
          <w:lang w:val="lv-LV"/>
        </w:rPr>
      </w:r>
    </w:p>
    <w:p>
      <w:pPr>
        <w:pStyle w:val="Normal"/>
        <w:jc w:val="center"/>
        <w:rPr>
          <w:sz w:val="26"/>
          <w:szCs w:val="26"/>
          <w:lang w:val="lv-LV"/>
        </w:rPr>
      </w:pPr>
      <w:r>
        <w:rPr>
          <w:sz w:val="26"/>
          <w:szCs w:val="26"/>
          <w:lang w:val="lv-LV"/>
        </w:rPr>
        <w:t>PIEPRASĪJUMS</w:t>
      </w:r>
    </w:p>
    <w:p>
      <w:pPr>
        <w:pStyle w:val="Normal"/>
        <w:jc w:val="center"/>
        <w:rPr>
          <w:lang w:val="lv-LV"/>
        </w:rPr>
      </w:pPr>
      <w:r>
        <w:rPr>
          <w:lang w:val="lv-LV"/>
        </w:rPr>
        <w:t>rūpnieciskās zvejas tiesību saņemšanai Baltijas jūras Ventspils valstspilsētas pašvaldības piekrastē 2025. gadā</w:t>
      </w:r>
    </w:p>
    <w:p>
      <w:pPr>
        <w:pStyle w:val="Normal"/>
        <w:spacing w:lineRule="auto" w:line="360"/>
        <w:jc w:val="center"/>
        <w:rPr>
          <w:sz w:val="10"/>
          <w:szCs w:val="10"/>
          <w:lang w:val="lv-LV"/>
        </w:rPr>
      </w:pPr>
      <w:r>
        <w:rPr>
          <w:sz w:val="10"/>
          <w:szCs w:val="10"/>
          <w:lang w:val="lv-LV"/>
        </w:rPr>
      </w:r>
    </w:p>
    <w:p>
      <w:pPr>
        <w:pStyle w:val="Normal"/>
        <w:jc w:val="both"/>
        <w:rPr>
          <w:b/>
          <w:b/>
          <w:bCs/>
          <w:lang w:val="lv-LV"/>
        </w:rPr>
      </w:pPr>
      <w:r>
        <w:rPr>
          <w:b/>
          <w:bCs/>
          <w:lang w:val="lv-LV"/>
        </w:rPr>
        <w:t>Informācija par zvejas laivu/kuģi:</w:t>
      </w:r>
    </w:p>
    <w:p>
      <w:pPr>
        <w:pStyle w:val="Normal"/>
        <w:jc w:val="both"/>
        <w:rPr>
          <w:lang w:val="lv-LV"/>
        </w:rPr>
      </w:pPr>
      <w:r>
        <w:rPr>
          <w:lang w:val="lv-LV"/>
        </w:rPr>
      </w:r>
    </w:p>
    <w:tbl>
      <w:tblPr>
        <w:tblW w:w="10740" w:type="dxa"/>
        <w:jc w:val="left"/>
        <w:tblInd w:w="0" w:type="dxa"/>
        <w:tblLayout w:type="fixed"/>
        <w:tblCellMar>
          <w:top w:w="57" w:type="dxa"/>
          <w:left w:w="108" w:type="dxa"/>
          <w:bottom w:w="57" w:type="dxa"/>
          <w:right w:w="108" w:type="dxa"/>
        </w:tblCellMar>
        <w:tblLook w:firstRow="1" w:noVBand="1" w:lastRow="0" w:firstColumn="1" w:lastColumn="0" w:noHBand="0" w:val="04a0"/>
      </w:tblPr>
      <w:tblGrid>
        <w:gridCol w:w="2375"/>
        <w:gridCol w:w="2410"/>
        <w:gridCol w:w="2127"/>
        <w:gridCol w:w="3827"/>
      </w:tblGrid>
      <w:tr>
        <w:trPr/>
        <w:tc>
          <w:tcPr>
            <w:tcW w:w="23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rFonts w:eastAsia="Calibri"/>
                <w:b/>
                <w:b/>
                <w:bCs/>
                <w:sz w:val="22"/>
                <w:szCs w:val="22"/>
                <w:lang w:val="lv-LV"/>
              </w:rPr>
            </w:pPr>
            <w:r>
              <w:rPr>
                <w:rFonts w:eastAsia="Calibri"/>
                <w:sz w:val="22"/>
                <w:szCs w:val="22"/>
                <w:lang w:val="lv-LV"/>
              </w:rPr>
              <w:t>Laivas/kuģa īpašnieks:</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b/>
                <w:b/>
                <w:bCs/>
                <w:sz w:val="22"/>
                <w:szCs w:val="22"/>
                <w:lang w:val="lv-LV"/>
              </w:rPr>
            </w:pPr>
            <w:r>
              <w:rPr>
                <w:rFonts w:eastAsia="Calibri"/>
                <w:b/>
                <w:bCs/>
                <w:sz w:val="22"/>
                <w:szCs w:val="22"/>
                <w:lang w:val="lv-LV"/>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rFonts w:eastAsia="Calibri"/>
                <w:b/>
                <w:b/>
                <w:bCs/>
                <w:sz w:val="22"/>
                <w:szCs w:val="22"/>
                <w:lang w:val="lv-LV"/>
              </w:rPr>
            </w:pPr>
            <w:r>
              <w:rPr>
                <w:rFonts w:eastAsia="Calibri"/>
                <w:sz w:val="22"/>
                <w:szCs w:val="22"/>
                <w:lang w:val="lv-LV"/>
              </w:rPr>
              <w:t>Reģistrācijas adrese:</w:t>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b/>
                <w:b/>
                <w:bCs/>
                <w:sz w:val="22"/>
                <w:szCs w:val="22"/>
                <w:lang w:val="lv-LV"/>
              </w:rPr>
            </w:pPr>
            <w:r>
              <w:rPr>
                <w:rFonts w:eastAsia="Calibri"/>
                <w:b/>
                <w:bCs/>
                <w:sz w:val="22"/>
                <w:szCs w:val="22"/>
                <w:lang w:val="lv-LV"/>
              </w:rPr>
            </w:r>
          </w:p>
        </w:tc>
      </w:tr>
      <w:tr>
        <w:trPr/>
        <w:tc>
          <w:tcPr>
            <w:tcW w:w="23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rFonts w:eastAsia="Calibri"/>
                <w:sz w:val="22"/>
                <w:szCs w:val="22"/>
                <w:lang w:val="lv-LV"/>
              </w:rPr>
            </w:pPr>
            <w:r>
              <w:rPr>
                <w:rFonts w:eastAsia="Calibri"/>
                <w:sz w:val="22"/>
                <w:szCs w:val="22"/>
                <w:lang w:val="lv-LV"/>
              </w:rPr>
              <w:t>Reģistrācijas numurs.:</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rFonts w:eastAsia="Calibri"/>
                <w:sz w:val="22"/>
                <w:szCs w:val="22"/>
                <w:lang w:val="lv-LV"/>
              </w:rPr>
            </w:pPr>
            <w:r>
              <w:rPr>
                <w:rFonts w:eastAsia="Calibri"/>
                <w:sz w:val="22"/>
                <w:szCs w:val="22"/>
                <w:lang w:val="lv-LV"/>
              </w:rPr>
              <w:t>Reģistrācijas datums:</w:t>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bl>
    <w:p>
      <w:pPr>
        <w:pStyle w:val="Normal"/>
        <w:rPr>
          <w:b/>
          <w:b/>
          <w:lang w:val="lv-LV"/>
        </w:rPr>
      </w:pPr>
      <w:r>
        <w:rPr>
          <w:b/>
          <w:lang w:val="lv-LV"/>
        </w:rPr>
      </w:r>
    </w:p>
    <w:p>
      <w:pPr>
        <w:pStyle w:val="Normal"/>
        <w:rPr>
          <w:b/>
          <w:b/>
          <w:lang w:val="lv-LV"/>
        </w:rPr>
      </w:pPr>
      <w:r>
        <w:rPr>
          <w:b/>
          <w:lang w:val="lv-LV"/>
        </w:rPr>
        <w:t>Pieprasījums:</w:t>
      </w:r>
    </w:p>
    <w:p>
      <w:pPr>
        <w:pStyle w:val="Normal"/>
        <w:rPr>
          <w:b/>
          <w:b/>
          <w:lang w:val="lv-LV"/>
        </w:rPr>
      </w:pPr>
      <w:r>
        <w:rPr>
          <w:b/>
          <w:lang w:val="lv-LV"/>
        </w:rPr>
      </w:r>
    </w:p>
    <w:tbl>
      <w:tblPr>
        <w:tblW w:w="7325" w:type="dxa"/>
        <w:jc w:val="center"/>
        <w:tblInd w:w="0" w:type="dxa"/>
        <w:tblLayout w:type="fixed"/>
        <w:tblCellMar>
          <w:top w:w="57" w:type="dxa"/>
          <w:left w:w="108" w:type="dxa"/>
          <w:bottom w:w="57" w:type="dxa"/>
          <w:right w:w="108" w:type="dxa"/>
        </w:tblCellMar>
        <w:tblLook w:firstRow="1" w:noVBand="1" w:lastRow="0" w:firstColumn="1" w:lastColumn="0" w:noHBand="0" w:val="04a0"/>
      </w:tblPr>
      <w:tblGrid>
        <w:gridCol w:w="2834"/>
        <w:gridCol w:w="994"/>
        <w:gridCol w:w="3497"/>
      </w:tblGrid>
      <w:tr>
        <w:trPr/>
        <w:tc>
          <w:tcPr>
            <w:tcW w:w="38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Pieprasītie zvejas rīki</w:t>
            </w:r>
          </w:p>
        </w:tc>
        <w:tc>
          <w:tcPr>
            <w:tcW w:w="349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b/>
                <w:b/>
                <w:bCs/>
                <w:sz w:val="22"/>
                <w:szCs w:val="22"/>
                <w:lang w:val="lv-LV"/>
              </w:rPr>
            </w:pPr>
            <w:r>
              <w:rPr>
                <w:rFonts w:eastAsia="Calibri"/>
                <w:sz w:val="22"/>
                <w:szCs w:val="22"/>
                <w:lang w:val="lv-LV"/>
              </w:rPr>
              <w:t>Piezīmes</w:t>
            </w:r>
          </w:p>
        </w:tc>
      </w:tr>
      <w:tr>
        <w:trPr/>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Veids</w:t>
            </w:r>
          </w:p>
        </w:tc>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Skaits</w:t>
            </w:r>
          </w:p>
        </w:tc>
        <w:tc>
          <w:tcPr>
            <w:tcW w:w="349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r>
        <w:trPr/>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Reņģu stāvvadi</w:t>
            </w:r>
          </w:p>
        </w:tc>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34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r>
        <w:trPr/>
        <w:tc>
          <w:tcPr>
            <w:tcW w:w="283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Lucīšu murdi</w:t>
            </w:r>
          </w:p>
        </w:tc>
        <w:tc>
          <w:tcPr>
            <w:tcW w:w="99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3497"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r>
        <w:trPr/>
        <w:tc>
          <w:tcPr>
            <w:tcW w:w="283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Akmeņplekstu tīkli</w:t>
            </w:r>
          </w:p>
        </w:tc>
        <w:tc>
          <w:tcPr>
            <w:tcW w:w="99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3497"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r>
        <w:trPr/>
        <w:tc>
          <w:tcPr>
            <w:tcW w:w="283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Plekstu vadi</w:t>
            </w:r>
          </w:p>
        </w:tc>
        <w:tc>
          <w:tcPr>
            <w:tcW w:w="99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3497"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r>
        <w:trPr/>
        <w:tc>
          <w:tcPr>
            <w:tcW w:w="283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Zivju tīkli</w:t>
            </w:r>
          </w:p>
        </w:tc>
        <w:tc>
          <w:tcPr>
            <w:tcW w:w="994"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3497" w:type="dxa"/>
            <w:tcBorders>
              <w:top w:val="single" w:sz="4" w:space="0" w:color="000000"/>
              <w:left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r>
        <w:trPr/>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Reņģu tīkli</w:t>
            </w:r>
          </w:p>
        </w:tc>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34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r>
        <w:trPr/>
        <w:tc>
          <w:tcPr>
            <w:tcW w:w="28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t>Zivju āķi</w:t>
            </w:r>
          </w:p>
        </w:tc>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c>
          <w:tcPr>
            <w:tcW w:w="34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jc w:val="center"/>
              <w:rPr>
                <w:rFonts w:eastAsia="Calibri"/>
                <w:sz w:val="22"/>
                <w:szCs w:val="22"/>
                <w:lang w:val="lv-LV"/>
              </w:rPr>
            </w:pPr>
            <w:r>
              <w:rPr>
                <w:rFonts w:eastAsia="Calibri"/>
                <w:sz w:val="22"/>
                <w:szCs w:val="22"/>
                <w:lang w:val="lv-LV"/>
              </w:rPr>
            </w:r>
          </w:p>
        </w:tc>
      </w:tr>
    </w:tbl>
    <w:p>
      <w:pPr>
        <w:pStyle w:val="Normal"/>
        <w:suppressAutoHyphens w:val="true"/>
        <w:spacing w:lineRule="auto" w:line="276"/>
        <w:jc w:val="both"/>
        <w:textAlignment w:val="baseline"/>
        <w:rPr>
          <w:rFonts w:eastAsia="Calibri"/>
          <w:b/>
          <w:b/>
          <w:bCs/>
          <w:sz w:val="20"/>
          <w:szCs w:val="20"/>
          <w:lang w:val="lv-LV"/>
        </w:rPr>
      </w:pPr>
      <w:r>
        <w:rPr>
          <w:rFonts w:eastAsia="Calibri"/>
          <w:b/>
          <w:bCs/>
          <w:sz w:val="20"/>
          <w:szCs w:val="20"/>
          <w:lang w:val="lv-LV"/>
        </w:rPr>
        <w:t>Ievērojiet!</w:t>
      </w:r>
    </w:p>
    <w:p>
      <w:pPr>
        <w:pStyle w:val="Normal"/>
        <w:jc w:val="both"/>
        <w:rPr>
          <w:rFonts w:eastAsia="Calibri"/>
          <w:b/>
          <w:b/>
          <w:bCs/>
          <w:sz w:val="20"/>
          <w:szCs w:val="20"/>
          <w:lang w:val="lv-LV"/>
        </w:rPr>
      </w:pPr>
      <w:r>
        <w:rPr>
          <w:rFonts w:eastAsia="Calibri"/>
          <w:sz w:val="20"/>
          <w:szCs w:val="20"/>
          <w:lang w:val="lv-LV"/>
        </w:rPr>
        <w:t xml:space="preserve">Saskaņā ar Ministru kabineta noteikumu Nr. 296 “Noteikumi par rūpniecisko zveju teritoriālajos ūdeņos un ekonomiskās zonas ūdeņos” 12. punktu </w:t>
      </w:r>
      <w:r>
        <w:rPr>
          <w:rFonts w:eastAsia="Calibri"/>
          <w:b/>
          <w:bCs/>
          <w:color w:val="FF0000"/>
          <w:sz w:val="20"/>
          <w:szCs w:val="20"/>
          <w:lang w:val="lv-LV"/>
        </w:rPr>
        <w:t xml:space="preserve">pašpatēriņam </w:t>
      </w:r>
      <w:r>
        <w:rPr>
          <w:rFonts w:eastAsia="Calibri"/>
          <w:b/>
          <w:bCs/>
          <w:sz w:val="20"/>
          <w:szCs w:val="20"/>
          <w:lang w:val="lv-LV"/>
        </w:rPr>
        <w:t xml:space="preserve">atļauts izmantot ne vairāk kā </w:t>
      </w:r>
      <w:r>
        <w:rPr>
          <w:rFonts w:eastAsia="Calibri"/>
          <w:b/>
          <w:bCs/>
          <w:color w:val="FF0000"/>
          <w:sz w:val="20"/>
          <w:szCs w:val="20"/>
          <w:lang w:val="lv-LV"/>
        </w:rPr>
        <w:t xml:space="preserve">vienu </w:t>
      </w:r>
      <w:r>
        <w:rPr>
          <w:rFonts w:eastAsia="Calibri"/>
          <w:b/>
          <w:bCs/>
          <w:sz w:val="20"/>
          <w:szCs w:val="20"/>
          <w:lang w:val="lv-LV"/>
        </w:rPr>
        <w:t xml:space="preserve">zivju tīklu, </w:t>
      </w:r>
      <w:r>
        <w:rPr>
          <w:rFonts w:eastAsia="Calibri"/>
          <w:b/>
          <w:bCs/>
          <w:color w:val="FF0000"/>
          <w:sz w:val="20"/>
          <w:szCs w:val="20"/>
          <w:lang w:val="lv-LV"/>
        </w:rPr>
        <w:t xml:space="preserve">vienu </w:t>
      </w:r>
      <w:r>
        <w:rPr>
          <w:rFonts w:eastAsia="Calibri"/>
          <w:b/>
          <w:bCs/>
          <w:sz w:val="20"/>
          <w:szCs w:val="20"/>
          <w:lang w:val="lv-LV"/>
        </w:rPr>
        <w:t xml:space="preserve">reņģu tīklu, </w:t>
      </w:r>
      <w:r>
        <w:rPr>
          <w:rFonts w:eastAsia="Calibri"/>
          <w:b/>
          <w:bCs/>
          <w:color w:val="FF0000"/>
          <w:sz w:val="20"/>
          <w:szCs w:val="20"/>
          <w:lang w:val="lv-LV"/>
        </w:rPr>
        <w:t xml:space="preserve">vienu </w:t>
      </w:r>
      <w:r>
        <w:rPr>
          <w:rFonts w:eastAsia="Calibri"/>
          <w:b/>
          <w:bCs/>
          <w:sz w:val="20"/>
          <w:szCs w:val="20"/>
          <w:lang w:val="lv-LV"/>
        </w:rPr>
        <w:t xml:space="preserve">lucīšu murdu vai </w:t>
      </w:r>
      <w:r>
        <w:rPr>
          <w:rFonts w:eastAsia="Calibri"/>
          <w:b/>
          <w:bCs/>
          <w:color w:val="FF0000"/>
          <w:sz w:val="20"/>
          <w:szCs w:val="20"/>
          <w:lang w:val="lv-LV"/>
        </w:rPr>
        <w:t>100</w:t>
      </w:r>
      <w:r>
        <w:rPr>
          <w:rFonts w:eastAsia="Calibri"/>
          <w:b/>
          <w:bCs/>
          <w:sz w:val="20"/>
          <w:szCs w:val="20"/>
          <w:lang w:val="lv-LV"/>
        </w:rPr>
        <w:t xml:space="preserve"> zivju āķus.</w:t>
      </w:r>
    </w:p>
    <w:p>
      <w:pPr>
        <w:pStyle w:val="Normal"/>
        <w:jc w:val="both"/>
        <w:rPr>
          <w:b/>
          <w:b/>
          <w:sz w:val="20"/>
          <w:szCs w:val="20"/>
          <w:lang w:val="lv-LV"/>
        </w:rPr>
      </w:pPr>
      <w:r>
        <w:rPr>
          <w:b/>
          <w:sz w:val="20"/>
          <w:szCs w:val="20"/>
          <w:lang w:val="lv-LV"/>
        </w:rPr>
      </w:r>
    </w:p>
    <w:p>
      <w:pPr>
        <w:pStyle w:val="Normal"/>
        <w:jc w:val="both"/>
        <w:rPr>
          <w:b/>
          <w:b/>
          <w:lang w:val="lv-LV"/>
        </w:rPr>
      </w:pPr>
      <w:r>
        <w:rPr>
          <w:b/>
          <w:lang w:val="lv-LV"/>
        </w:rPr>
        <w:t>Pielikumā:</w:t>
      </w:r>
    </w:p>
    <w:tbl>
      <w:tblPr>
        <w:tblStyle w:val="Reatabula"/>
        <w:tblW w:w="106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
        <w:gridCol w:w="10233"/>
      </w:tblGrid>
      <w:tr>
        <w:trPr/>
        <w:tc>
          <w:tcPr>
            <w:tcW w:w="396" w:type="dxa"/>
            <w:tcBorders>
              <w:top w:val="nil"/>
              <w:left w:val="nil"/>
              <w:bottom w:val="nil"/>
              <w:right w:val="nil"/>
            </w:tcBorders>
          </w:tcPr>
          <w:p>
            <w:pPr>
              <w:pStyle w:val="Normal"/>
              <w:widowControl/>
              <w:spacing w:before="0" w:after="0"/>
              <w:jc w:val="both"/>
              <w:rPr>
                <w:rFonts w:ascii="Times New Roman" w:hAnsi="Times New Roman"/>
                <w:b/>
                <w:b/>
                <w:lang w:val="lv-LV"/>
              </w:rPr>
            </w:pPr>
            <w:r>
              <w:rPr>
                <w:rFonts w:eastAsia="Calibri" w:cs="Times New Roman"/>
                <w:b/>
                <w:kern w:val="0"/>
                <w:lang w:val="lv-LV" w:bidi="ar-SA"/>
              </w:rPr>
              <w:t>1.</w:t>
            </w:r>
          </w:p>
        </w:tc>
        <w:tc>
          <w:tcPr>
            <w:tcW w:w="10233" w:type="dxa"/>
            <w:tcBorders>
              <w:top w:val="nil"/>
              <w:left w:val="nil"/>
              <w:right w:val="nil"/>
            </w:tcBorders>
          </w:tcPr>
          <w:p>
            <w:pPr>
              <w:pStyle w:val="Normal"/>
              <w:widowControl/>
              <w:spacing w:before="0" w:after="0"/>
              <w:jc w:val="both"/>
              <w:rPr>
                <w:rFonts w:ascii="Times New Roman" w:hAnsi="Times New Roman"/>
                <w:b/>
                <w:b/>
                <w:lang w:val="lv-LV"/>
              </w:rPr>
            </w:pPr>
            <w:r>
              <w:rPr>
                <w:rFonts w:eastAsia="Calibri" w:cs="Times New Roman"/>
                <w:b/>
                <w:kern w:val="0"/>
                <w:lang w:val="lv-LV" w:bidi="ar-SA"/>
              </w:rPr>
            </w:r>
          </w:p>
        </w:tc>
      </w:tr>
      <w:tr>
        <w:trPr/>
        <w:tc>
          <w:tcPr>
            <w:tcW w:w="396" w:type="dxa"/>
            <w:tcBorders>
              <w:top w:val="nil"/>
              <w:left w:val="nil"/>
              <w:bottom w:val="nil"/>
              <w:right w:val="nil"/>
            </w:tcBorders>
          </w:tcPr>
          <w:p>
            <w:pPr>
              <w:pStyle w:val="Normal"/>
              <w:widowControl/>
              <w:spacing w:before="0" w:after="0"/>
              <w:jc w:val="both"/>
              <w:rPr>
                <w:rFonts w:ascii="Times New Roman" w:hAnsi="Times New Roman"/>
                <w:b/>
                <w:b/>
                <w:lang w:val="lv-LV"/>
              </w:rPr>
            </w:pPr>
            <w:r>
              <w:rPr>
                <w:rFonts w:eastAsia="Calibri" w:cs="Times New Roman"/>
                <w:b/>
                <w:kern w:val="0"/>
                <w:lang w:val="lv-LV" w:bidi="ar-SA"/>
              </w:rPr>
              <w:t>2.</w:t>
            </w:r>
          </w:p>
        </w:tc>
        <w:tc>
          <w:tcPr>
            <w:tcW w:w="10233" w:type="dxa"/>
            <w:tcBorders>
              <w:left w:val="nil"/>
              <w:right w:val="nil"/>
            </w:tcBorders>
          </w:tcPr>
          <w:p>
            <w:pPr>
              <w:pStyle w:val="Normal"/>
              <w:widowControl/>
              <w:spacing w:before="0" w:after="0"/>
              <w:jc w:val="both"/>
              <w:rPr>
                <w:rFonts w:ascii="Times New Roman" w:hAnsi="Times New Roman"/>
                <w:b/>
                <w:b/>
                <w:lang w:val="lv-LV"/>
              </w:rPr>
            </w:pPr>
            <w:r>
              <w:rPr>
                <w:rFonts w:eastAsia="Calibri" w:cs="Times New Roman"/>
                <w:b/>
                <w:kern w:val="0"/>
                <w:lang w:val="lv-LV" w:bidi="ar-SA"/>
              </w:rPr>
            </w:r>
          </w:p>
        </w:tc>
      </w:tr>
    </w:tbl>
    <w:p>
      <w:pPr>
        <w:pStyle w:val="Normal"/>
        <w:jc w:val="both"/>
        <w:rPr>
          <w:b/>
          <w:b/>
          <w:sz w:val="8"/>
          <w:szCs w:val="8"/>
          <w:lang w:val="lv-LV"/>
        </w:rPr>
      </w:pPr>
      <w:r>
        <w:rPr>
          <w:b/>
          <w:sz w:val="8"/>
          <w:szCs w:val="8"/>
          <w:lang w:val="lv-LV"/>
        </w:rPr>
      </w:r>
    </w:p>
    <w:tbl>
      <w:tblPr>
        <w:tblStyle w:val="Reatabula"/>
        <w:tblW w:w="5419"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2530"/>
        <w:gridCol w:w="2888"/>
      </w:tblGrid>
      <w:tr>
        <w:trPr>
          <w:trHeight w:val="445" w:hRule="atLeast"/>
        </w:trPr>
        <w:tc>
          <w:tcPr>
            <w:tcW w:w="2530" w:type="dxa"/>
            <w:tcBorders>
              <w:top w:val="nil"/>
              <w:left w:val="nil"/>
              <w:bottom w:val="nil"/>
              <w:right w:val="nil"/>
            </w:tcBorders>
          </w:tcPr>
          <w:p>
            <w:pPr>
              <w:pStyle w:val="Normal"/>
              <w:widowControl/>
              <w:spacing w:before="0" w:after="0"/>
              <w:jc w:val="right"/>
              <w:rPr>
                <w:rFonts w:ascii="Times New Roman" w:hAnsi="Times New Roman"/>
                <w:bCs/>
                <w:lang w:val="lv-LV"/>
              </w:rPr>
            </w:pPr>
            <w:r>
              <w:rPr>
                <w:rFonts w:eastAsia="Calibri" w:cs="Times New Roman"/>
                <w:bCs/>
                <w:kern w:val="0"/>
                <w:lang w:val="lv-LV" w:bidi="ar-SA"/>
              </w:rPr>
              <w:t>Iesniegšanas datums:</w:t>
            </w:r>
          </w:p>
        </w:tc>
        <w:tc>
          <w:tcPr>
            <w:tcW w:w="2888" w:type="dxa"/>
            <w:tcBorders>
              <w:top w:val="nil"/>
              <w:left w:val="nil"/>
              <w:right w:val="nil"/>
            </w:tcBorders>
          </w:tcPr>
          <w:p>
            <w:pPr>
              <w:pStyle w:val="Normal"/>
              <w:widowControl/>
              <w:spacing w:before="0" w:after="0"/>
              <w:jc w:val="center"/>
              <w:rPr>
                <w:rFonts w:ascii="Times New Roman" w:hAnsi="Times New Roman"/>
                <w:b/>
                <w:b/>
                <w:lang w:val="lv-LV"/>
              </w:rPr>
            </w:pPr>
            <w:r>
              <w:rPr>
                <w:rFonts w:eastAsia="Calibri" w:cs="Times New Roman"/>
                <w:b/>
                <w:kern w:val="0"/>
                <w:lang w:val="lv-LV" w:bidi="ar-SA"/>
              </w:rPr>
            </w:r>
          </w:p>
        </w:tc>
      </w:tr>
      <w:tr>
        <w:trPr>
          <w:trHeight w:val="409" w:hRule="atLeast"/>
        </w:trPr>
        <w:tc>
          <w:tcPr>
            <w:tcW w:w="2530" w:type="dxa"/>
            <w:tcBorders>
              <w:top w:val="nil"/>
              <w:left w:val="nil"/>
              <w:bottom w:val="nil"/>
              <w:right w:val="nil"/>
            </w:tcBorders>
          </w:tcPr>
          <w:p>
            <w:pPr>
              <w:pStyle w:val="Normal"/>
              <w:widowControl/>
              <w:spacing w:before="0" w:after="0"/>
              <w:jc w:val="right"/>
              <w:rPr>
                <w:rFonts w:ascii="Times New Roman" w:hAnsi="Times New Roman"/>
                <w:bCs/>
                <w:lang w:val="lv-LV"/>
              </w:rPr>
            </w:pPr>
            <w:r>
              <w:rPr>
                <w:rFonts w:eastAsia="Calibri" w:cs="Times New Roman"/>
                <w:bCs/>
                <w:kern w:val="0"/>
                <w:lang w:val="lv-LV" w:bidi="ar-SA"/>
              </w:rPr>
              <w:t>Vārds, uzvārds:</w:t>
            </w:r>
          </w:p>
        </w:tc>
        <w:tc>
          <w:tcPr>
            <w:tcW w:w="2888" w:type="dxa"/>
            <w:tcBorders>
              <w:left w:val="nil"/>
              <w:right w:val="nil"/>
            </w:tcBorders>
          </w:tcPr>
          <w:p>
            <w:pPr>
              <w:pStyle w:val="Normal"/>
              <w:widowControl/>
              <w:spacing w:before="0" w:after="0"/>
              <w:jc w:val="center"/>
              <w:rPr>
                <w:rFonts w:ascii="Times New Roman" w:hAnsi="Times New Roman"/>
                <w:b/>
                <w:b/>
                <w:lang w:val="lv-LV"/>
              </w:rPr>
            </w:pPr>
            <w:r>
              <w:rPr>
                <w:rFonts w:eastAsia="Calibri" w:cs="Times New Roman"/>
                <w:b/>
                <w:kern w:val="0"/>
                <w:lang w:val="lv-LV" w:bidi="ar-SA"/>
              </w:rPr>
            </w:r>
          </w:p>
        </w:tc>
      </w:tr>
      <w:tr>
        <w:trPr>
          <w:trHeight w:val="698" w:hRule="atLeast"/>
        </w:trPr>
        <w:tc>
          <w:tcPr>
            <w:tcW w:w="2530" w:type="dxa"/>
            <w:tcBorders>
              <w:top w:val="nil"/>
              <w:left w:val="nil"/>
              <w:bottom w:val="nil"/>
              <w:right w:val="nil"/>
            </w:tcBorders>
          </w:tcPr>
          <w:p>
            <w:pPr>
              <w:pStyle w:val="Normal"/>
              <w:widowControl/>
              <w:spacing w:before="0" w:after="0"/>
              <w:jc w:val="right"/>
              <w:rPr>
                <w:rFonts w:ascii="Times New Roman" w:hAnsi="Times New Roman"/>
                <w:bCs/>
                <w:lang w:val="lv-LV"/>
              </w:rPr>
            </w:pPr>
            <w:r>
              <w:rPr>
                <w:rFonts w:eastAsia="Calibri" w:cs="Times New Roman"/>
                <w:bCs/>
                <w:kern w:val="0"/>
                <w:lang w:val="lv-LV" w:bidi="ar-SA"/>
              </w:rPr>
              <w:t>Paraksts:</w:t>
            </w:r>
          </w:p>
        </w:tc>
        <w:tc>
          <w:tcPr>
            <w:tcW w:w="2888" w:type="dxa"/>
            <w:tcBorders>
              <w:left w:val="nil"/>
              <w:right w:val="nil"/>
            </w:tcBorders>
          </w:tcPr>
          <w:p>
            <w:pPr>
              <w:pStyle w:val="Normal"/>
              <w:widowControl/>
              <w:spacing w:before="0" w:after="0"/>
              <w:jc w:val="center"/>
              <w:rPr>
                <w:rFonts w:ascii="Times New Roman" w:hAnsi="Times New Roman"/>
                <w:b/>
                <w:b/>
                <w:lang w:val="lv-LV"/>
              </w:rPr>
            </w:pPr>
            <w:r>
              <w:rPr>
                <w:rFonts w:eastAsia="Calibri" w:cs="Times New Roman"/>
                <w:b/>
                <w:kern w:val="0"/>
                <w:lang w:val="lv-LV" w:bidi="ar-SA"/>
              </w:rPr>
            </w:r>
          </w:p>
        </w:tc>
      </w:tr>
    </w:tbl>
    <w:p>
      <w:pPr>
        <w:pStyle w:val="Normal"/>
        <w:jc w:val="center"/>
        <w:rPr>
          <w:sz w:val="26"/>
          <w:szCs w:val="26"/>
          <w:lang w:val="lv-LV"/>
        </w:rPr>
      </w:pPr>
      <w:r>
        <w:rPr/>
      </w:r>
    </w:p>
    <w:sectPr>
      <w:headerReference w:type="even" r:id="rId2"/>
      <w:headerReference w:type="default" r:id="rId3"/>
      <w:footerReference w:type="default" r:id="rId4"/>
      <w:footerReference w:type="first" r:id="rId5"/>
      <w:type w:val="nextPage"/>
      <w:pgSz w:w="11906" w:h="16838"/>
      <w:pgMar w:left="709" w:right="567" w:gutter="0" w:header="709" w:top="766"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sz w:val="20"/>
      </w:rPr>
      <w:t>Šis dokuments ir parakstīts ar drošu elektronisko parakstu un satur laika zīmogu</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sz w:val="18"/>
        <w:szCs w:val="18"/>
        <w:lang w:val="lv-LV"/>
      </w:rPr>
    </w:pPr>
    <w:r>
      <w:rPr>
        <w:sz w:val="18"/>
        <w:szCs w:val="18"/>
        <w:lang w:val="lv-LV"/>
      </w:rPr>
      <w:t xml:space="preserve">Datu pārzinis ir Ventspils valstspilsētas pašvaldības iestāde “Ventspils domes administrācija”, Jūras iela 36, Ventspils, datu apstrādes mērķis - iesnieguma izskatīšana, pamatojums – Zvejniecības likuma 5. panta ceturtā daļa un Ministru kabineta 2009.gada 11.augusta noteikumu Nr.918 “Noteikumi par ūdenstilpju un rūpnieciskās zvejas tiesību nomu un zvejas tiesību izmantošanas kārtību” 13.punkts. Papildus informācija par personas datu apstrādi pieejama internetā </w:t>
    </w:r>
    <w:hyperlink r:id="rId1">
      <w:r>
        <w:rPr>
          <w:rStyle w:val="InternetLink"/>
          <w:sz w:val="18"/>
          <w:szCs w:val="18"/>
          <w:lang w:val="lv-LV"/>
        </w:rPr>
        <w:t>https://www.ventspils.lv/privatuma-politika/</w:t>
      </w:r>
    </w:hyperlink>
    <w:r>
      <w:rPr>
        <w:sz w:val="18"/>
        <w:szCs w:val="18"/>
        <w:lang w:val="lv-LV"/>
      </w:rPr>
      <w:t xml:space="preserve"> vai klātienē Ventspils valstspilsētas pašvaldības iestādes “Ventspils domes administrācija” Vispārējā nodaļā.</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76835" cy="175260"/>
              <wp:effectExtent l="0" t="0" r="0" b="0"/>
              <wp:wrapSquare wrapText="bothSides"/>
              <wp:docPr id="2" name="Frame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525.45pt;mso-position-horizontal:right;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square"/>
            </v:rect>
          </w:pict>
        </mc:Fallback>
      </mc:AlternateContent>
    </w:r>
  </w:p>
</w:hdr>
</file>

<file path=word/settings.xml><?xml version="1.0" encoding="utf-8"?>
<w:settings xmlns:w="http://schemas.openxmlformats.org/wordprocessingml/2006/main">
  <w:zoom w:percent="14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v-LV" w:eastAsia="lv-LV"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26fb3"/>
    <w:rPr/>
  </w:style>
  <w:style w:type="character" w:styleId="InternetLink">
    <w:name w:val="Hyperlink"/>
    <w:basedOn w:val="DefaultParagraphFont"/>
    <w:rsid w:val="00fa11b8"/>
    <w:rPr>
      <w:color w:val="467886" w:themeColor="hyperlink"/>
      <w:u w:val="single"/>
    </w:rPr>
  </w:style>
  <w:style w:type="character" w:styleId="UnresolvedMention">
    <w:name w:val="Unresolved Mention"/>
    <w:basedOn w:val="DefaultParagraphFont"/>
    <w:uiPriority w:val="99"/>
    <w:semiHidden/>
    <w:unhideWhenUsed/>
    <w:qFormat/>
    <w:rsid w:val="00fa11b8"/>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qFormat/>
    <w:pPr>
      <w:jc w:val="center"/>
    </w:pPr>
    <w:rPr>
      <w:sz w:val="40"/>
      <w:szCs w:val="40"/>
      <w:lang w:val="lv-LV"/>
    </w:rPr>
  </w:style>
  <w:style w:type="paragraph" w:styleId="HeaderandFooter">
    <w:name w:val="Header and Footer"/>
    <w:basedOn w:val="Normal"/>
    <w:qFormat/>
    <w:pPr/>
    <w:rPr/>
  </w:style>
  <w:style w:type="paragraph" w:styleId="Header">
    <w:name w:val="Header"/>
    <w:basedOn w:val="Normal"/>
    <w:rsid w:val="00d26fb3"/>
    <w:pPr>
      <w:tabs>
        <w:tab w:val="clear" w:pos="720"/>
        <w:tab w:val="center" w:pos="4153" w:leader="none"/>
        <w:tab w:val="right" w:pos="8306" w:leader="none"/>
      </w:tabs>
    </w:pPr>
    <w:rPr/>
  </w:style>
  <w:style w:type="paragraph" w:styleId="Footer">
    <w:name w:val="Footer"/>
    <w:basedOn w:val="Normal"/>
    <w:rsid w:val="00d26fb3"/>
    <w:pPr>
      <w:tabs>
        <w:tab w:val="clear" w:pos="720"/>
        <w:tab w:val="center" w:pos="4153" w:leader="none"/>
        <w:tab w:val="right" w:pos="8306" w:leader="none"/>
      </w:tabs>
    </w:pPr>
    <w:rPr/>
  </w:style>
  <w:style w:type="paragraph" w:styleId="BalloonText">
    <w:name w:val="Balloon Text"/>
    <w:basedOn w:val="Normal"/>
    <w:semiHidden/>
    <w:qFormat/>
    <w:rsid w:val="00911845"/>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dc1756"/>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hyperlink" Target="https://www.ventspils.lv/privatuma-politika/"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5" ma:contentTypeDescription="Izveidot jaunu dokumentu." ma:contentTypeScope="" ma:versionID="230877b390ad31a878ce3d9087a4a47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0cb4cc5d6333ea051e3e76db69a51eee"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lcf76f155ced4ddcb4097134ff3c332f xmlns="387cfdb0-bbbb-482f-970b-aba77a611e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CBBE88-833E-4C06-A060-9B0A4F583988}">
  <ds:schemaRefs>
    <ds:schemaRef ds:uri="http://schemas.microsoft.com/sharepoint/v3/contenttype/forms"/>
  </ds:schemaRefs>
</ds:datastoreItem>
</file>

<file path=customXml/itemProps2.xml><?xml version="1.0" encoding="utf-8"?>
<ds:datastoreItem xmlns:ds="http://schemas.openxmlformats.org/officeDocument/2006/customXml" ds:itemID="{D0710C98-90DF-4B7A-ADDB-689D98AF2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1B74F-1C99-4DAB-B2C5-6C9D690EC9D1}">
  <ds:schemaRefs>
    <ds:schemaRef ds:uri="http://schemas.microsoft.com/office/2006/metadata/properties"/>
    <ds:schemaRef ds:uri="http://schemas.microsoft.com/office/infopath/2007/PartnerControls"/>
    <ds:schemaRef ds:uri="387cfdb0-bbbb-482f-970b-aba77a611e32"/>
    <ds:schemaRef ds:uri="6d4193cb-6222-4e36-9552-1d72919fb87b"/>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LibreOffice/7.4.6.2$Windows_X86_64 LibreOffice_project/5b1f5509c2decdade7fda905e3e1429a67acd63d</Application>
  <AppVersion>15.0000</AppVersion>
  <Pages>2</Pages>
  <Words>200</Words>
  <Characters>1462</Characters>
  <CharactersWithSpaces>1627</CharactersWithSpaces>
  <Paragraphs>40</Paragraphs>
  <Company>A/S DATI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2024-10-21T14:42:00Z</dcterms:created>
  <dc:creator>Pavel Kirilovsky</dc:creator>
  <dc:description/>
  <dc:language>lv-LV</dc:language>
  <cp:lastModifiedBy>Jānis Andersons</cp:lastModifiedBy>
  <cp:lastPrinted>2008-02-21T11:46:00Z</cp:lastPrinted>
  <dcterms:modified xsi:type="dcterms:W3CDTF">2024-10-21T14:45:00Z</dcterms:modified>
  <cp:revision>5</cp:revision>
  <dc:subject/>
  <dc:title>RDLIS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#PARAKST_V_UZV#</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